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台灣明體.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Bdr>
          <w:bottom w:val="single" w:sz="6" w:space="1" w:color="CCCCCC"/>
        </w:pBdr>
      </w:pPr>
    </w:p>
    <w:p>
      <w:pPr>
        <w:pStyle w:val="Heading2"/>
      </w:pPr>
      <w:r>
        <w:rPr>
          <w:rFonts w:ascii="台灣明體" w:hAnsi="台灣明體" w:eastAsia="台灣明體"/>
          <w:b/>
          <w:sz w:val="30"/>
        </w:rPr>
        <w:t>layout: default</w:t>
      </w:r>
    </w:p>
    <w:p>
      <w:r>
        <w:rPr>
          <w:rFonts w:ascii="台灣明體" w:hAnsi="台灣明體" w:eastAsia="台灣明體"/>
          <w:b w:val="0"/>
          <w:sz w:val="26"/>
        </w:rPr>
        <w:br/>
        <w:t xml:space="preserve">    body {</w:t>
        <w:br/>
        <w:br/>
        <w:t xml:space="preserve">    }</w:t>
        <w:br/>
        <w:t xml:space="preserve">    p.big {</w:t>
        <w:br/>
        <w:t xml:space="preserve">      line-height: 3;</w:t>
        <w:br/>
        <w:t xml:space="preserve">      font-size: x-large;</w:t>
        <w:br/>
        <w:t xml:space="preserve">    }</w:t>
        <w:br/>
        <w:t xml:space="preserve">    p {</w:t>
        <w:br/>
        <w:t xml:space="preserve">      font-size: 1.5em;</w:t>
        <w:br/>
        <w:t xml:space="preserve">    }</w:t>
        <w:br/>
        <w:t xml:space="preserve">    </w:t>
      </w:r>
    </w:p>
    <w:p>
      <w:pPr>
        <w:pStyle w:val="Heading1"/>
      </w:pPr>
      <w:r>
        <w:rPr>
          <w:rFonts w:ascii="台灣明體" w:hAnsi="台灣明體" w:eastAsia="台灣明體"/>
          <w:b/>
          <w:sz w:val="34"/>
        </w:rPr>
        <w:t>Текст оригіналу</w:t>
      </w:r>
    </w:p>
    <w:p>
      <w:r>
        <w:rPr>
          <w:rFonts w:ascii="台灣明體" w:hAnsi="台灣明體" w:eastAsia="台灣明體"/>
          <w:b w:val="0"/>
          <w:sz w:val="26"/>
        </w:rPr>
        <w:t>滕文公問曰：「滕，小國也。竭力以事大國，則不得免焉。如之何則可？」</w:t>
        <w:br/>
        <w:t>孟子對曰：「昔者，太王居邠，狄人侵之。事之以皮幣，不得免焉；事之以犬馬，不得免焉；事之以珠玉，不得免焉。乃屬其耆老而告之曰：『狄人之所欲者，吾土地也。吾聞之也，君子不以其所以養人者害人。二三子，何患乎無君？我將去之。』去邠，踰梁山，邑於岐山之下居焉。邠人曰：『仁人也，不可失也。』從之者如歸市。或曰：『世守也，非身之所能為也。效死勿去。』君請擇於斯二者。」</w:t>
      </w:r>
    </w:p>
    <w:p>
      <w:pPr>
        <w:pStyle w:val="Heading1"/>
      </w:pPr>
      <w:r>
        <w:rPr>
          <w:rFonts w:ascii="台灣明體" w:hAnsi="台灣明體" w:eastAsia="台灣明體"/>
          <w:b/>
          <w:sz w:val="34"/>
        </w:rPr>
        <w:t>Переклад та деякі пояснення</w:t>
      </w:r>
    </w:p>
    <w:p>
      <w:pPr>
        <w:ind w:left="432"/>
      </w:pPr>
      <w:r>
        <w:rPr>
          <w:rFonts w:ascii="台灣明體" w:hAnsi="台灣明體" w:eastAsia="台灣明體"/>
          <w:b w:val="0"/>
          <w:sz w:val="26"/>
        </w:rPr>
        <w:t>滕文公問曰：「滕，小國也。竭力以事大國，則不得免焉。如之何則可？」</w:t>
      </w:r>
    </w:p>
    <w:p>
      <w:r>
        <w:rPr>
          <w:rFonts w:ascii="台灣明體" w:hAnsi="台灣明體" w:eastAsia="台灣明體"/>
          <w:b w:val="0"/>
          <w:sz w:val="26"/>
        </w:rPr>
        <w:t>Намісник Тенг питає: "Тенг країна маленька. Намагаємося як можемо догодити великим країнам, та наче не минути війни. Тож що нам зробити щоб запобігти нещастю?"</w:t>
      </w:r>
    </w:p>
    <w:p>
      <w:r>
        <w:rPr>
          <w:rFonts w:ascii="台灣明體" w:hAnsi="台灣明體" w:eastAsia="台灣明體"/>
          <w:b w:val="0"/>
          <w:sz w:val="26"/>
        </w:rPr>
        <w:t xml:space="preserve"> Коментар：</w:t>
      </w:r>
      <w:r>
        <w:rPr>
          <w:rFonts w:ascii="台灣明體" w:hAnsi="台灣明體" w:eastAsia="台灣明體"/>
          <w:b w:val="0"/>
          <w:sz w:val="26"/>
        </w:rPr>
        <w:br/>
        <w:t xml:space="preserve">- </w:t>
      </w:r>
      <w:r>
        <w:rPr>
          <w:rFonts w:ascii="台灣明體" w:hAnsi="台灣明體" w:eastAsia="台灣明體"/>
          <w:b w:val="0"/>
          <w:sz w:val="26"/>
        </w:rPr>
        <w:t>「滕文公」，ім'я намісника королівства Тенг。</w:t>
      </w:r>
    </w:p>
    <w:p>
      <w:pPr>
        <w:ind w:left="432"/>
      </w:pPr>
      <w:r>
        <w:rPr>
          <w:rFonts w:ascii="台灣明體" w:hAnsi="台灣明體" w:eastAsia="台灣明體"/>
          <w:b w:val="0"/>
          <w:sz w:val="26"/>
        </w:rPr>
        <w:t>孟子對曰：「昔者，太王居邠，狄人侵之。</w:t>
      </w:r>
    </w:p>
    <w:p>
      <w:r>
        <w:rPr>
          <w:rFonts w:ascii="台灣明體" w:hAnsi="台灣明體" w:eastAsia="台灣明體"/>
          <w:b w:val="0"/>
          <w:sz w:val="26"/>
        </w:rPr>
        <w:t>Менцій відповідає: "В минулому, Король Тай жив у місті Бін, проте вороги з півночі хотіли завоювати цю землю."</w:t>
      </w:r>
    </w:p>
    <w:p>
      <w:r>
        <w:rPr>
          <w:rFonts w:ascii="台灣明體" w:hAnsi="台灣明體" w:eastAsia="台灣明體"/>
          <w:b w:val="0"/>
          <w:sz w:val="26"/>
        </w:rPr>
        <w:t xml:space="preserve"> Коментар：</w:t>
      </w:r>
      <w:r>
        <w:rPr>
          <w:rFonts w:ascii="台灣明體" w:hAnsi="台灣明體" w:eastAsia="台灣明體"/>
          <w:b w:val="0"/>
          <w:sz w:val="26"/>
        </w:rPr>
        <w:br/>
        <w:t xml:space="preserve">- </w:t>
      </w:r>
      <w:r>
        <w:rPr>
          <w:rFonts w:ascii="台灣明體" w:hAnsi="台灣明體" w:eastAsia="台灣明體"/>
          <w:b w:val="0"/>
          <w:sz w:val="26"/>
        </w:rPr>
        <w:t>「孟子」，Менцій, ім'я одного з найвідоміших філософів Китаю того часу.</w:t>
      </w:r>
      <w:r>
        <w:rPr>
          <w:rFonts w:ascii="台灣明體" w:hAnsi="台灣明體" w:eastAsia="台灣明體"/>
          <w:b w:val="0"/>
          <w:sz w:val="26"/>
        </w:rPr>
        <w:br/>
        <w:t xml:space="preserve">- </w:t>
      </w:r>
      <w:r>
        <w:rPr>
          <w:rFonts w:ascii="台灣明體" w:hAnsi="台灣明體" w:eastAsia="台灣明體"/>
          <w:b w:val="0"/>
          <w:sz w:val="26"/>
        </w:rPr>
        <w:t>「太王」，Тай, ім'я одного з королів минулого (відносно часу цієї розмови).</w:t>
      </w:r>
    </w:p>
    <w:p>
      <w:pPr>
        <w:ind w:left="432"/>
      </w:pPr>
      <w:r>
        <w:rPr>
          <w:rFonts w:ascii="台灣明體" w:hAnsi="台灣明體" w:eastAsia="台灣明體"/>
          <w:b w:val="0"/>
          <w:sz w:val="26"/>
        </w:rPr>
        <w:t>事之以皮幣，不得免焉；事之以犬馬，不得免焉；事之以珠玉，不得免焉。</w:t>
      </w:r>
    </w:p>
    <w:p>
      <w:r>
        <w:rPr>
          <w:rFonts w:ascii="台灣明體" w:hAnsi="台灣明體" w:eastAsia="台灣明體"/>
          <w:b w:val="0"/>
          <w:sz w:val="26"/>
        </w:rPr>
        <w:t>(продовження) "Король намагався догодити ворогам шкірами звірів та шовком (в якості подарунків), проте не зміг оминути нещастя. Намагався догодити конями та собаками, проте не зміг оминути нещастя. Намагався догодити янтарем та перлинами, та також не зміг оминути нещастя."</w:t>
      </w:r>
    </w:p>
    <w:p>
      <w:pPr>
        <w:ind w:left="432"/>
      </w:pPr>
      <w:r>
        <w:rPr>
          <w:rFonts w:ascii="台灣明體" w:hAnsi="台灣明體" w:eastAsia="台灣明體"/>
          <w:b w:val="0"/>
          <w:sz w:val="26"/>
        </w:rPr>
        <w:t>乃屬其耆老而告之曰：</w:t>
      </w:r>
    </w:p>
    <w:p>
      <w:r>
        <w:rPr>
          <w:rFonts w:ascii="台灣明體" w:hAnsi="台灣明體" w:eastAsia="台灣明體"/>
          <w:b w:val="0"/>
          <w:sz w:val="26"/>
        </w:rPr>
        <w:t>(продовження) "Він зібрав старців свого міста та й каже:"</w:t>
      </w:r>
    </w:p>
    <w:p>
      <w:pPr>
        <w:ind w:left="432"/>
      </w:pPr>
      <w:r>
        <w:rPr>
          <w:rFonts w:ascii="台灣明體" w:hAnsi="台灣明體" w:eastAsia="台灣明體"/>
          <w:b w:val="0"/>
          <w:sz w:val="26"/>
        </w:rPr>
        <w:t>『狄人之所欲者，吾土地也。吾聞之也，君子不以其所以養人者害人。</w:t>
      </w:r>
    </w:p>
    <w:p>
      <w:r>
        <w:rPr>
          <w:rFonts w:ascii="台灣明體" w:hAnsi="台灣明體" w:eastAsia="台灣明體"/>
          <w:b w:val="0"/>
          <w:sz w:val="26"/>
        </w:rPr>
        <w:t>"Вороги з півночі хочуть моєї землі."</w:t>
      </w:r>
    </w:p>
    <w:p>
      <w:pPr>
        <w:ind w:left="432"/>
      </w:pPr>
      <w:r>
        <w:rPr>
          <w:rFonts w:ascii="台灣明體" w:hAnsi="台灣明體" w:eastAsia="台灣明體"/>
          <w:b w:val="0"/>
          <w:sz w:val="26"/>
        </w:rPr>
        <w:t>二三子，何患乎無君？我將去之。』</w:t>
      </w:r>
    </w:p>
    <w:p>
      <w:r>
        <w:rPr>
          <w:rFonts w:ascii="台灣明體" w:hAnsi="台灣明體" w:eastAsia="台灣明體"/>
          <w:b w:val="0"/>
          <w:sz w:val="26"/>
        </w:rPr>
        <w:t>"Шановні панове, чому хвилюватися, що у вас немає намісника? Я збираюсь піти звідси."</w:t>
      </w:r>
    </w:p>
    <w:p>
      <w:pPr>
        <w:ind w:left="432"/>
      </w:pPr>
      <w:r>
        <w:rPr>
          <w:rFonts w:ascii="台灣明體" w:hAnsi="台灣明體" w:eastAsia="台灣明體"/>
          <w:b w:val="0"/>
          <w:sz w:val="26"/>
        </w:rPr>
        <w:t>去邠，踰梁山，邑於岐山之下居焉。</w:t>
      </w:r>
    </w:p>
    <w:p>
      <w:r>
        <w:rPr>
          <w:rFonts w:ascii="台灣明體" w:hAnsi="台灣明體" w:eastAsia="台灣明體"/>
          <w:b w:val="0"/>
          <w:sz w:val="26"/>
        </w:rPr>
        <w:t>Пішов з міста Бін, перейшов гору Лянг, заснував місто під горою Чі і живе там.</w:t>
      </w:r>
    </w:p>
    <w:p>
      <w:pPr>
        <w:ind w:left="432"/>
      </w:pPr>
      <w:r>
        <w:rPr>
          <w:rFonts w:ascii="台灣明體" w:hAnsi="台灣明體" w:eastAsia="台灣明體"/>
          <w:b w:val="0"/>
          <w:sz w:val="26"/>
        </w:rPr>
        <w:t>邠人曰：『仁人也，不可失也。』</w:t>
      </w:r>
    </w:p>
    <w:p>
      <w:r>
        <w:rPr>
          <w:rFonts w:ascii="台灣明體" w:hAnsi="台灣明體" w:eastAsia="台灣明體"/>
          <w:b w:val="0"/>
          <w:sz w:val="26"/>
        </w:rPr>
        <w:t>Жителі міста Бін кажуть: "Він гарна і справедлива людина, не можна нам губити його."</w:t>
      </w:r>
    </w:p>
    <w:p>
      <w:pPr>
        <w:ind w:left="432"/>
      </w:pPr>
      <w:r>
        <w:rPr>
          <w:rFonts w:ascii="台灣明體" w:hAnsi="台灣明體" w:eastAsia="台灣明體"/>
          <w:b w:val="0"/>
          <w:sz w:val="26"/>
        </w:rPr>
        <w:t>從之者如歸市。或曰：『世守也，非身之所能為也。效死勿去。』</w:t>
      </w:r>
    </w:p>
    <w:p>
      <w:r>
        <w:rPr>
          <w:rFonts w:ascii="台灣明體" w:hAnsi="台灣明體" w:eastAsia="台灣明體"/>
          <w:b w:val="0"/>
          <w:sz w:val="26"/>
        </w:rPr>
        <w:t xml:space="preserve">Разом із ним піде велика товпа людей, наче в неділю на ринок. Деякі люди кажуть: "...". </w:t>
      </w:r>
    </w:p>
    <w:p>
      <w:pPr>
        <w:ind w:left="432"/>
      </w:pPr>
      <w:r>
        <w:rPr>
          <w:rFonts w:ascii="台灣明體" w:hAnsi="台灣明體" w:eastAsia="台灣明體"/>
          <w:b w:val="0"/>
          <w:sz w:val="26"/>
        </w:rPr>
        <w:t>君請擇於斯二者。」</w:t>
      </w:r>
    </w:p>
    <w:p>
      <w:r>
        <w:rPr>
          <w:rFonts w:ascii="台灣明體" w:hAnsi="台灣明體" w:eastAsia="台灣明體"/>
          <w:b w:val="0"/>
          <w:sz w:val="26"/>
        </w:rPr>
        <w:t>目錄</w:t>
      </w:r>
      <w:r>
        <w:rPr>
          <w:rFonts w:ascii="台灣明體" w:hAnsi="台灣明體" w:eastAsia="台灣明體"/>
          <w:b w:val="0"/>
          <w:sz w:val="26"/>
        </w:rPr>
        <w:t>.</w:t>
      </w:r>
    </w:p>
    <w:sectPr w:rsidR="00FC693F" w:rsidRPr="0006063C" w:rsidSect="00034616">
      <w:pgSz w:w="8640" w:h="12960"/>
      <w:pgMar w:top="864" w:right="864" w:bottom="864" w:left="864" w:header="720" w:footer="720" w:gutter="0"/>
      <w:cols w:space="720"/>
      <w:docGrid w:linePitch="360"/>
      <w:textDirection w:val="tbRl"/>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台灣明體" w:hAnsi="台灣明體" w:eastAsia="台灣明體"/>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120" w:after="80"/>
      <w:outlineLvl w:val="0"/>
    </w:pPr>
    <w:rPr>
      <w:rFonts w:asciiTheme="majorHAnsi" w:eastAsiaTheme="majorEastAsia" w:hAnsiTheme="majorHAnsi" w:cstheme="majorBidi" w:ascii="台灣明體" w:hAnsi="台灣明體" w:eastAsia="台灣明體"/>
      <w:b/>
      <w:bCs/>
      <w:color w:val="365F91" w:themeColor="accent1" w:themeShade="BF"/>
      <w:sz w:val="34"/>
      <w:szCs w:val="28"/>
    </w:rPr>
  </w:style>
  <w:style w:type="paragraph" w:styleId="Heading2">
    <w:name w:val="heading 2"/>
    <w:basedOn w:val="Normal"/>
    <w:next w:val="Normal"/>
    <w:link w:val="Heading2Char"/>
    <w:uiPriority w:val="9"/>
    <w:unhideWhenUsed/>
    <w:qFormat/>
    <w:rsid w:val="00FC693F"/>
    <w:pPr>
      <w:keepNext/>
      <w:keepLines/>
      <w:spacing w:before="120" w:after="80"/>
      <w:outlineLvl w:val="1"/>
    </w:pPr>
    <w:rPr>
      <w:rFonts w:asciiTheme="majorHAnsi" w:eastAsiaTheme="majorEastAsia" w:hAnsiTheme="majorHAnsi" w:cstheme="majorBidi" w:ascii="台灣明體" w:hAnsi="台灣明體" w:eastAsia="台灣明體"/>
      <w:b/>
      <w:bCs/>
      <w:color w:val="4F81BD" w:themeColor="accent1"/>
      <w:sz w:val="30"/>
      <w:szCs w:val="26"/>
    </w:rPr>
  </w:style>
  <w:style w:type="paragraph" w:styleId="Heading3">
    <w:name w:val="heading 3"/>
    <w:basedOn w:val="Normal"/>
    <w:next w:val="Normal"/>
    <w:link w:val="Heading3Char"/>
    <w:uiPriority w:val="9"/>
    <w:unhideWhenUsed/>
    <w:qFormat/>
    <w:rsid w:val="00FC693F"/>
    <w:pPr>
      <w:keepNext/>
      <w:keepLines/>
      <w:spacing w:before="120" w:after="80"/>
      <w:outlineLvl w:val="2"/>
    </w:pPr>
    <w:rPr>
      <w:rFonts w:asciiTheme="majorHAnsi" w:eastAsiaTheme="majorEastAsia" w:hAnsiTheme="majorHAnsi" w:cstheme="majorBidi" w:ascii="台灣明體" w:hAnsi="台灣明體" w:eastAsia="台灣明體"/>
      <w:b/>
      <w:bCs/>
      <w:color w:val="4F81BD" w:themeColor="accent1"/>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nt" Target="fonts/&#21488;&#28771;&#26126;&#39636;.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